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4A14" w14:textId="5B3F6162" w:rsidR="00095E06" w:rsidRDefault="00095E06" w:rsidP="00095E06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bCs/>
          <w:color w:val="222222"/>
          <w:lang w:eastAsia="ru-RU"/>
        </w:rPr>
      </w:pPr>
      <w:r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                  </w:t>
      </w:r>
      <w:r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АПСБ подготовила прогноз динамики ставок по перестрахованию на 2022 год</w:t>
      </w:r>
    </w:p>
    <w:p w14:paraId="0A376905" w14:textId="2987E0D1" w:rsidR="00095E06" w:rsidRDefault="00095E06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b/>
          <w:bCs/>
          <w:color w:val="222222"/>
          <w:lang w:eastAsia="ru-RU"/>
        </w:rPr>
      </w:pPr>
    </w:p>
    <w:p w14:paraId="5CC88133" w14:textId="77777777" w:rsidR="00095E06" w:rsidRDefault="00095E06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b/>
          <w:bCs/>
          <w:color w:val="222222"/>
          <w:lang w:eastAsia="ru-RU"/>
        </w:rPr>
      </w:pPr>
    </w:p>
    <w:p w14:paraId="697F9A69" w14:textId="294654FE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>Ассоциация Профессиональных Страховых Брокеров</w:t>
      </w:r>
      <w:r w:rsidRPr="00015C6E">
        <w:rPr>
          <w:rFonts w:ascii="Calibri" w:eastAsia="Times New Roman" w:hAnsi="Calibri" w:cs="Calibri"/>
          <w:color w:val="222222"/>
          <w:lang w:eastAsia="ru-RU"/>
        </w:rPr>
        <w:t> (АПСБ) подготовила прогноз динамики перестраховочных ставок по различным видам страхования на 2022 год. По большей части видов страхования перестраховочные ставки заметно росли в 2021 году. Так, рост ставок по перестрахованию имущества юридических лиц и СМР составил 15-20%, по D&amp;O - 20-40%, по авиационному страхованию - 10-15%. АПСБ ожидает, что в 2022 году рост ставок продолжится, однако темпы этого роста замедлятся в среднем в 1,5-2 раза. В то же время, геополитическое положение России может негативно сказаться на емкостях. Такая ситуация может привести к росту тарифов на прямое страхование.</w:t>
      </w:r>
    </w:p>
    <w:p w14:paraId="5F538ECD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 </w:t>
      </w:r>
    </w:p>
    <w:p w14:paraId="239A3474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По данным страхового брокера </w:t>
      </w:r>
      <w:proofErr w:type="spellStart"/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>Marsh</w:t>
      </w:r>
      <w:proofErr w:type="spellEnd"/>
      <w:r w:rsidRPr="00015C6E">
        <w:rPr>
          <w:rFonts w:ascii="Calibri" w:eastAsia="Times New Roman" w:hAnsi="Calibri" w:cs="Calibri"/>
          <w:color w:val="222222"/>
          <w:lang w:eastAsia="ru-RU"/>
        </w:rPr>
        <w:t>, рост тарифов на перестрахование имущества юридических лиц на западном рынке продолжался весь прошлый год. Новогодние продления прошли спокойно, без роста цен для тех клиентов, у кого не было убытков. Предполагается улучшение ситуации в 2022, правда, с учетом инфляции доллара цены могут и чуть подрасти. </w:t>
      </w:r>
    </w:p>
    <w:p w14:paraId="6DDB01C8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По СМР по-прежнему колоссальная разница между ценами российского и западного рынков (в разы). Это, в том числе, связано с уменьшающимся числом западных игроков, готовых писать этот бизнес из РФ. Российский рынок гораздо привлекательнее, но, к сожалению, не обладает должным уровнем финансовой надежности.</w:t>
      </w:r>
    </w:p>
    <w:p w14:paraId="05E045FA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 По авиации темп роста ставок замедлился: если в начале прошлого года рост тарифов составлял в среднем 15% (сравнивая 1 кв 2021 с 1 кв 2020 года), то в конце года - менее 10%. В 2022 году ожидается незначительный рост (на 5-7%).</w:t>
      </w:r>
    </w:p>
    <w:p w14:paraId="07E94617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 По D&amp;O сохраняется рост тарифов, но степень роста существенно сократилась. Несмотря на заявления ряда западных страховщиков о росте до 40%, реальный рост за 4 кв 2021 составил 15%, а для ряда программ (особенно с большим лимитом) даже от 0 до 10%. Прогноз на первое полугодие 2022 года - сохранение тенденций четвертого квартала 2021 года.</w:t>
      </w:r>
    </w:p>
    <w:p w14:paraId="1B3291A9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 xml:space="preserve"> По морскому каско при благоприятной статистике у клиента рост в 2021 году при размещении на западном рынке составил около 15%. Предполагается, </w:t>
      </w:r>
      <w:proofErr w:type="gramStart"/>
      <w:r w:rsidRPr="00015C6E">
        <w:rPr>
          <w:rFonts w:ascii="Calibri" w:eastAsia="Times New Roman" w:hAnsi="Calibri" w:cs="Calibri"/>
          <w:color w:val="222222"/>
          <w:lang w:eastAsia="ru-RU"/>
        </w:rPr>
        <w:t>что  в</w:t>
      </w:r>
      <w:proofErr w:type="gramEnd"/>
      <w:r w:rsidRPr="00015C6E">
        <w:rPr>
          <w:rFonts w:ascii="Calibri" w:eastAsia="Times New Roman" w:hAnsi="Calibri" w:cs="Calibri"/>
          <w:color w:val="222222"/>
          <w:lang w:eastAsia="ru-RU"/>
        </w:rPr>
        <w:t xml:space="preserve"> 2022 году это будет 5%. По P&amp;I ожидаем существенный рост ставок в 2022 году.</w:t>
      </w:r>
    </w:p>
    <w:p w14:paraId="7E0AC7CC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 </w:t>
      </w:r>
    </w:p>
    <w:p w14:paraId="7E9FE148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Страховой брокер </w:t>
      </w:r>
      <w:proofErr w:type="spellStart"/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>Willis</w:t>
      </w:r>
      <w:proofErr w:type="spellEnd"/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> </w:t>
      </w:r>
      <w:r w:rsidRPr="00015C6E">
        <w:rPr>
          <w:rFonts w:ascii="Calibri" w:eastAsia="Times New Roman" w:hAnsi="Calibri" w:cs="Calibri"/>
          <w:color w:val="222222"/>
          <w:lang w:eastAsia="ru-RU"/>
        </w:rPr>
        <w:t>в ходе возобновлений облигаторных договоров компаний российского рынка на 2022 год отмечает следующие общие тренды:</w:t>
      </w:r>
    </w:p>
    <w:p w14:paraId="569270E1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• отсутствие конкуренции за лидерство,</w:t>
      </w:r>
    </w:p>
    <w:p w14:paraId="4B014CF7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• дальнейшее увеличение стоимости,</w:t>
      </w:r>
    </w:p>
    <w:p w14:paraId="0BF288C9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• давление со стороны перестраховщиков на уровень приоритета,</w:t>
      </w:r>
    </w:p>
    <w:p w14:paraId="72762D74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• повышенное внимание к условиям и оговоркам,</w:t>
      </w:r>
    </w:p>
    <w:p w14:paraId="3ABAC250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• сокращение доступных емкостей, обусловленное в том числе и условиями ретро защит перестраховщиков.</w:t>
      </w:r>
    </w:p>
    <w:p w14:paraId="29BD449D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 По имущественным облигаторным договорам и комбинированным программам доступная емкость находится в зависимости от цены, приоритета, условий участия и рейтинга размещения. В целом, можно говорить о том, что цена является персонифицированной - у каждого перестраховщика для каждого клиента/облигаторного договора, в связи с чем делать вывод об общем проценте повышения стоимости сложно. По морским облигаторным договорам повышение ставок составило 3-5% при условии отсутствия крупных убытков в программе. По катастрофическим защитам – 2-3%.</w:t>
      </w:r>
    </w:p>
    <w:p w14:paraId="5CFE14CC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 </w:t>
      </w:r>
    </w:p>
    <w:p w14:paraId="1A70C72E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“Атомный страховой </w:t>
      </w:r>
      <w:proofErr w:type="gramStart"/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>брокер”</w:t>
      </w:r>
      <w:r w:rsidRPr="00015C6E">
        <w:rPr>
          <w:rFonts w:ascii="Calibri" w:eastAsia="Times New Roman" w:hAnsi="Calibri" w:cs="Calibri"/>
          <w:color w:val="222222"/>
          <w:lang w:eastAsia="ru-RU"/>
        </w:rPr>
        <w:t>  также</w:t>
      </w:r>
      <w:proofErr w:type="gramEnd"/>
      <w:r w:rsidRPr="00015C6E">
        <w:rPr>
          <w:rFonts w:ascii="Calibri" w:eastAsia="Times New Roman" w:hAnsi="Calibri" w:cs="Calibri"/>
          <w:color w:val="222222"/>
          <w:lang w:eastAsia="ru-RU"/>
        </w:rPr>
        <w:t xml:space="preserve"> провел анализ динамики ставок по перестрахованию и ожиданий на 2022 год. Страхование всего того, что связано с атомной энергетикой, носит долгосрочный и консервативный характер, с низким уровнем убытков (при отсутствии масштабных инцидентов).  В связи с этим тарифы на страхование и перестрахование в меньшей мере подвержены рыночным колебаниям. Хотя в программах, исключающих ядерные риски, последнее время чётко прослеживается динамика увеличения тарифов в перестраховании.  Это СМР, D&amp;O, ряд имущественных программ. В 2021 году рост тарифов по части аккаунтов составил </w:t>
      </w:r>
      <w:r w:rsidRPr="00015C6E">
        <w:rPr>
          <w:rFonts w:ascii="Calibri" w:eastAsia="Times New Roman" w:hAnsi="Calibri" w:cs="Calibri"/>
          <w:color w:val="222222"/>
          <w:lang w:eastAsia="ru-RU"/>
        </w:rPr>
        <w:lastRenderedPageBreak/>
        <w:t>5-15%, по части тарифы остались неизменными (учитывая, что, обычно, при пролонгации стандартная скидка составляет –5-10%, это также можно считать скрытым ростом). В этом году, учитывая рыночную ситуацию, “Атомный страховой брокер” ожидает рост тарифов по нашим основным международным программам в пределах 10%. По внутренним – без роста, на уровне 2020 года.</w:t>
      </w:r>
    </w:p>
    <w:p w14:paraId="7395E6DB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 </w:t>
      </w:r>
    </w:p>
    <w:p w14:paraId="58C653C5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Страховой брокер </w:t>
      </w:r>
      <w:r w:rsidRPr="00015C6E">
        <w:rPr>
          <w:rFonts w:ascii="Calibri" w:eastAsia="Times New Roman" w:hAnsi="Calibri" w:cs="Calibri"/>
          <w:b/>
          <w:bCs/>
          <w:color w:val="222222"/>
          <w:lang w:val="en-US" w:eastAsia="ru-RU"/>
        </w:rPr>
        <w:t>AON </w:t>
      </w:r>
      <w:r w:rsidRPr="00015C6E">
        <w:rPr>
          <w:rFonts w:ascii="Calibri" w:eastAsia="Times New Roman" w:hAnsi="Calibri" w:cs="Calibri"/>
          <w:color w:val="222222"/>
          <w:lang w:eastAsia="ru-RU"/>
        </w:rPr>
        <w:t>также отмечает рост тарифов на перестрахование на западных рынках в течение 2021 года. Так, на крупное промышленное имущество рост составил около 15%, на СМР - на 15-20% в зависимости от направления деятельности, по D&amp;O - на 40%.</w:t>
      </w:r>
    </w:p>
    <w:p w14:paraId="4B88A247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 </w:t>
      </w:r>
    </w:p>
    <w:p w14:paraId="53C66558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Страховой брокер </w:t>
      </w:r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>«</w:t>
      </w:r>
      <w:proofErr w:type="spellStart"/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>Малакут</w:t>
      </w:r>
      <w:proofErr w:type="spellEnd"/>
      <w:r w:rsidRPr="00015C6E"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 – Кредитное страхование»</w:t>
      </w:r>
      <w:r w:rsidRPr="00015C6E">
        <w:rPr>
          <w:rFonts w:ascii="Calibri" w:eastAsia="Times New Roman" w:hAnsi="Calibri" w:cs="Calibri"/>
          <w:color w:val="222222"/>
          <w:lang w:eastAsia="ru-RU"/>
        </w:rPr>
        <w:t> отмечает, что в страховании торговых кредитов (дебиторской задолженности) в России происходили процессы схожие с другими рынками. Ожидание роста убыточности вследствие пандемии привело к снижению риск-аппетита страховщиков (снижению экспозиции) и некоторому росту ставок, который в конечном итоге оказался не столь значительным и был в большей степени привязан к исторически сложившейся убыточности в конкретных секторах и договорах страхования.</w:t>
      </w:r>
    </w:p>
    <w:p w14:paraId="7D2ABBDA" w14:textId="77777777" w:rsidR="00015C6E" w:rsidRPr="00015C6E" w:rsidRDefault="00015C6E" w:rsidP="00015C6E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15C6E">
        <w:rPr>
          <w:rFonts w:ascii="Calibri" w:eastAsia="Times New Roman" w:hAnsi="Calibri" w:cs="Calibri"/>
          <w:color w:val="222222"/>
          <w:lang w:eastAsia="ru-RU"/>
        </w:rPr>
        <w:t>Значительный инфляционный эффект, выразившийся в росте стоимости страхуемой продукции, привел к росту застрахованного оборота и таким образом привел к общему росту премий страховщиков.  При этом, появление новых договоров с новыми клиентами, которые ранее не страховались, в меньшей степени повлияло на рост страхования торговых кредитов в 2021 году в сравнении с эффектом роста цен на страхуемую продукцию. «</w:t>
      </w:r>
      <w:proofErr w:type="spellStart"/>
      <w:r w:rsidRPr="00015C6E">
        <w:rPr>
          <w:rFonts w:ascii="Calibri" w:eastAsia="Times New Roman" w:hAnsi="Calibri" w:cs="Calibri"/>
          <w:color w:val="222222"/>
          <w:lang w:eastAsia="ru-RU"/>
        </w:rPr>
        <w:t>Малакут</w:t>
      </w:r>
      <w:proofErr w:type="spellEnd"/>
      <w:r w:rsidRPr="00015C6E">
        <w:rPr>
          <w:rFonts w:ascii="Calibri" w:eastAsia="Times New Roman" w:hAnsi="Calibri" w:cs="Calibri"/>
          <w:color w:val="222222"/>
          <w:lang w:eastAsia="ru-RU"/>
        </w:rPr>
        <w:t xml:space="preserve"> – Кредитное страхование» отмечает, что страхованию торговых кредитов характерен более длительный период фиксации итоговой фактической убыточности. На основании анализа потенциальных убытков (просрочек платежа и возможных банкротств), а также последующих волн пандемии, ожидается рост убыточности в течение 2022 года.</w:t>
      </w:r>
    </w:p>
    <w:p w14:paraId="5973C60B" w14:textId="77777777" w:rsidR="000C5A2E" w:rsidRDefault="000C5A2E"/>
    <w:sectPr w:rsidR="000C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05BB"/>
    <w:rsid w:val="00015C6E"/>
    <w:rsid w:val="00095E06"/>
    <w:rsid w:val="000C5A2E"/>
    <w:rsid w:val="008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5C15"/>
  <w15:chartTrackingRefBased/>
  <w15:docId w15:val="{48FAFAFC-E20B-47B5-B67C-33E8D31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Буйвидович</dc:creator>
  <cp:keywords/>
  <dc:description/>
  <cp:lastModifiedBy>Сергей Буйвидович</cp:lastModifiedBy>
  <cp:revision>3</cp:revision>
  <dcterms:created xsi:type="dcterms:W3CDTF">2022-01-27T08:26:00Z</dcterms:created>
  <dcterms:modified xsi:type="dcterms:W3CDTF">2022-01-27T08:28:00Z</dcterms:modified>
</cp:coreProperties>
</file>